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882D" w14:textId="137716DF" w:rsidR="008F056B" w:rsidRDefault="008F056B" w:rsidP="006F6880">
      <w:pPr>
        <w:pStyle w:val="GrantParagraph"/>
        <w:spacing w:after="0"/>
        <w:jc w:val="center"/>
        <w:rPr>
          <w:b/>
          <w:bCs w:val="0"/>
        </w:rPr>
      </w:pPr>
      <w:r w:rsidRPr="002820D5">
        <w:rPr>
          <w:b/>
          <w:bCs w:val="0"/>
        </w:rPr>
        <w:t>MAJOR EQUIPMENT</w:t>
      </w:r>
    </w:p>
    <w:p w14:paraId="5AB51F55" w14:textId="5D733D51" w:rsidR="006F6880" w:rsidRPr="002820D5" w:rsidRDefault="006F6880" w:rsidP="006F6880">
      <w:pPr>
        <w:pStyle w:val="GrantParagraph"/>
        <w:spacing w:after="0"/>
        <w:jc w:val="center"/>
        <w:rPr>
          <w:b/>
          <w:bCs w:val="0"/>
        </w:rPr>
      </w:pPr>
      <w:r>
        <w:rPr>
          <w:b/>
          <w:bCs w:val="0"/>
        </w:rPr>
        <w:t xml:space="preserve">Updated: </w:t>
      </w:r>
      <w:r w:rsidR="00B23C87">
        <w:rPr>
          <w:b/>
          <w:bCs w:val="0"/>
        </w:rPr>
        <w:t>August 17</w:t>
      </w:r>
      <w:r w:rsidR="00B23C87" w:rsidRPr="00B23C87">
        <w:rPr>
          <w:b/>
          <w:bCs w:val="0"/>
          <w:vertAlign w:val="superscript"/>
        </w:rPr>
        <w:t>th</w:t>
      </w:r>
      <w:r w:rsidR="00B23C87">
        <w:rPr>
          <w:b/>
          <w:bCs w:val="0"/>
        </w:rPr>
        <w:t>, 2022</w:t>
      </w:r>
    </w:p>
    <w:p w14:paraId="1BA3DE3F" w14:textId="77777777" w:rsidR="008F056B" w:rsidRPr="002820D5" w:rsidRDefault="008F056B" w:rsidP="006F6880">
      <w:pPr>
        <w:pStyle w:val="GrantParagraph"/>
        <w:spacing w:after="0"/>
        <w:jc w:val="center"/>
        <w:rPr>
          <w:b/>
          <w:bCs w:val="0"/>
        </w:rPr>
      </w:pPr>
    </w:p>
    <w:p w14:paraId="7891DDB1" w14:textId="0F12DBDA" w:rsidR="008F056B" w:rsidRPr="002F08EE" w:rsidRDefault="002820D5" w:rsidP="006F6880">
      <w:pPr>
        <w:jc w:val="center"/>
        <w:rPr>
          <w:b/>
          <w:bCs/>
        </w:rPr>
      </w:pPr>
      <w:r w:rsidRPr="002F08EE">
        <w:rPr>
          <w:b/>
          <w:bCs/>
        </w:rPr>
        <w:t>Major Equipment</w:t>
      </w:r>
      <w:r w:rsidR="008F056B" w:rsidRPr="002F08EE">
        <w:rPr>
          <w:b/>
          <w:bCs/>
        </w:rPr>
        <w:t xml:space="preserve"> for </w:t>
      </w:r>
      <w:r w:rsidR="006D33F0" w:rsidRPr="006D33F0">
        <w:rPr>
          <w:b/>
          <w:bCs/>
        </w:rPr>
        <w:t>Emory Stem Cell Core (ESCC)</w:t>
      </w:r>
      <w:r w:rsidR="007A1CFF" w:rsidRPr="002F08EE">
        <w:rPr>
          <w:b/>
          <w:bCs/>
        </w:rPr>
        <w:t xml:space="preserve"> </w:t>
      </w:r>
      <w:r w:rsidR="008F056B" w:rsidRPr="002F08EE">
        <w:rPr>
          <w:b/>
          <w:bCs/>
        </w:rPr>
        <w:t>Users</w:t>
      </w:r>
    </w:p>
    <w:p w14:paraId="0EF2C218" w14:textId="7395E158" w:rsidR="008F056B" w:rsidRDefault="008F056B" w:rsidP="008F056B"/>
    <w:p w14:paraId="57F2E3A7" w14:textId="4E305708" w:rsidR="006F6880" w:rsidRPr="006D33F0" w:rsidRDefault="006F6880" w:rsidP="006D33F0">
      <w:pPr>
        <w:pStyle w:val="GrantParagraph"/>
        <w:rPr>
          <w:b/>
          <w:bCs w:val="0"/>
          <w:u w:val="single"/>
        </w:rPr>
      </w:pPr>
      <w:r w:rsidRPr="006D33F0">
        <w:rPr>
          <w:b/>
          <w:bCs w:val="0"/>
          <w:u w:val="single"/>
        </w:rPr>
        <w:t>EMORY STEM CELL CORE (ESCC)</w:t>
      </w:r>
    </w:p>
    <w:p w14:paraId="17FEFCD4" w14:textId="4F2C2321" w:rsidR="00001555" w:rsidRDefault="006D33F0" w:rsidP="006D33F0">
      <w:pPr>
        <w:pStyle w:val="GrantParagraph"/>
      </w:pPr>
      <w:r>
        <w:rPr>
          <w:bCs w:val="0"/>
          <w:iCs/>
        </w:rPr>
        <w:t xml:space="preserve">The </w:t>
      </w:r>
      <w:r w:rsidR="007A1CFF" w:rsidRPr="007A1CFF">
        <w:rPr>
          <w:b/>
          <w:iCs/>
        </w:rPr>
        <w:t>Emory Stem Cell Core</w:t>
      </w:r>
      <w:r w:rsidR="007A1CFF">
        <w:rPr>
          <w:b/>
          <w:i/>
          <w:iCs/>
        </w:rPr>
        <w:t xml:space="preserve"> </w:t>
      </w:r>
      <w:r w:rsidR="007A1CFF" w:rsidRPr="00A445CD">
        <w:rPr>
          <w:b/>
          <w:bCs w:val="0"/>
        </w:rPr>
        <w:t>(ESCC)</w:t>
      </w:r>
      <w:r>
        <w:t xml:space="preserve">, one of the </w:t>
      </w:r>
      <w:r w:rsidRPr="006D33F0">
        <w:rPr>
          <w:b/>
          <w:bCs w:val="0"/>
        </w:rPr>
        <w:t>Emory Integrated Core Facilities (EICF)</w:t>
      </w:r>
      <w:r>
        <w:t xml:space="preserve">, </w:t>
      </w:r>
      <w:r w:rsidR="007A1CFF">
        <w:t xml:space="preserve">is located in a laboratory located on the 4th floor of the Whitehead Biomedical Research Building, with approximately </w:t>
      </w:r>
      <w:r w:rsidR="00EC5137">
        <w:t>5</w:t>
      </w:r>
      <w:r w:rsidR="007A1CFF">
        <w:t>00 square feet of dedicated cell culture and wet-lab space</w:t>
      </w:r>
      <w:r w:rsidR="0053742C">
        <w:t xml:space="preserve"> and </w:t>
      </w:r>
      <w:r w:rsidR="006421BB">
        <w:t>3</w:t>
      </w:r>
      <w:r w:rsidR="0053742C">
        <w:t xml:space="preserve">00 square feet of office space. </w:t>
      </w:r>
      <w:r w:rsidR="00001555">
        <w:t>The ESCC</w:t>
      </w:r>
      <w:r>
        <w:t xml:space="preserve"> major equipment</w:t>
      </w:r>
      <w:r w:rsidR="00001555">
        <w:t xml:space="preserve"> includes: </w:t>
      </w:r>
    </w:p>
    <w:p w14:paraId="2FB6032E" w14:textId="152E75C1" w:rsidR="00001555" w:rsidRPr="002820D5" w:rsidRDefault="00001555" w:rsidP="006D33F0">
      <w:pPr>
        <w:pStyle w:val="GrantParagraph"/>
      </w:pPr>
      <w:r w:rsidRPr="006D33F0">
        <w:rPr>
          <w:bCs w:val="0"/>
          <w:u w:val="single"/>
        </w:rPr>
        <w:t>T</w:t>
      </w:r>
      <w:r w:rsidR="00B129AD">
        <w:rPr>
          <w:bCs w:val="0"/>
          <w:u w:val="single"/>
        </w:rPr>
        <w:t>hree</w:t>
      </w:r>
      <w:r w:rsidRPr="006D33F0">
        <w:rPr>
          <w:bCs w:val="0"/>
          <w:u w:val="single"/>
        </w:rPr>
        <w:t xml:space="preserve"> </w:t>
      </w:r>
      <w:r w:rsidR="00076BD3" w:rsidRPr="006D33F0">
        <w:rPr>
          <w:bCs w:val="0"/>
          <w:u w:val="single"/>
        </w:rPr>
        <w:t xml:space="preserve">ThermoFisher </w:t>
      </w:r>
      <w:r w:rsidRPr="006D33F0">
        <w:rPr>
          <w:bCs w:val="0"/>
          <w:u w:val="single"/>
        </w:rPr>
        <w:t>1300 Series Class II biosafety hoods</w:t>
      </w:r>
      <w:r w:rsidR="006D33F0" w:rsidRPr="006D33F0">
        <w:rPr>
          <w:bCs w:val="0"/>
        </w:rPr>
        <w:t>:</w:t>
      </w:r>
      <w:r>
        <w:rPr>
          <w:b/>
        </w:rPr>
        <w:t xml:space="preserve"> </w:t>
      </w:r>
      <w:r w:rsidR="00076BD3">
        <w:t xml:space="preserve">The 4 feet safety cabinets provide superior protection for daily culturing of cells with SmartFlow design with digital airflow verification and adjust airflow as filter resistance changes. The installed UV light </w:t>
      </w:r>
      <w:r w:rsidR="00631F67">
        <w:t>works as an effective germicide and viricide for daily use.</w:t>
      </w:r>
    </w:p>
    <w:p w14:paraId="6DB86ED0" w14:textId="3BE63149" w:rsidR="00631F67" w:rsidRPr="00631F67" w:rsidRDefault="00001555" w:rsidP="006D33F0">
      <w:pPr>
        <w:pStyle w:val="GrantParagraph"/>
      </w:pPr>
      <w:r w:rsidRPr="006D33F0">
        <w:rPr>
          <w:bCs w:val="0"/>
          <w:u w:val="single"/>
        </w:rPr>
        <w:t>F</w:t>
      </w:r>
      <w:r w:rsidR="00027C65">
        <w:rPr>
          <w:bCs w:val="0"/>
          <w:u w:val="single"/>
        </w:rPr>
        <w:t>ive H</w:t>
      </w:r>
      <w:r w:rsidRPr="006D33F0">
        <w:rPr>
          <w:bCs w:val="0"/>
          <w:u w:val="single"/>
        </w:rPr>
        <w:t>ERA</w:t>
      </w:r>
      <w:r w:rsidR="00631F67" w:rsidRPr="006D33F0">
        <w:rPr>
          <w:bCs w:val="0"/>
          <w:u w:val="single"/>
        </w:rPr>
        <w:t>CELL</w:t>
      </w:r>
      <w:r w:rsidRPr="006D33F0">
        <w:rPr>
          <w:bCs w:val="0"/>
          <w:u w:val="single"/>
        </w:rPr>
        <w:t xml:space="preserve"> VIOS 160I CO2 incubators</w:t>
      </w:r>
      <w:r w:rsidR="006D33F0">
        <w:rPr>
          <w:bCs w:val="0"/>
        </w:rPr>
        <w:t>:</w:t>
      </w:r>
      <w:r>
        <w:rPr>
          <w:b/>
        </w:rPr>
        <w:t xml:space="preserve"> </w:t>
      </w:r>
      <w:r w:rsidR="00631F67">
        <w:t>These CO</w:t>
      </w:r>
      <w:r w:rsidR="00631F67" w:rsidRPr="00631F67">
        <w:rPr>
          <w:vertAlign w:val="subscript"/>
        </w:rPr>
        <w:t xml:space="preserve">2 </w:t>
      </w:r>
      <w:r w:rsidR="00631F67">
        <w:t>incubators support a range of culturing needs for optimal cell growth. I</w:t>
      </w:r>
      <w:r w:rsidR="00631F67" w:rsidRPr="00631F67">
        <w:t xml:space="preserve">n-chamber fan gently distributes clean, humidified air throughout the chamber ensuring homogeneous </w:t>
      </w:r>
      <w:r w:rsidR="00631F67">
        <w:t>conditions and f</w:t>
      </w:r>
      <w:r w:rsidR="00631F67" w:rsidRPr="00631F67">
        <w:t>ast recovery of all parameters in 10 minutes or less for stable culturing conditions</w:t>
      </w:r>
      <w:r w:rsidR="00631F67">
        <w:t xml:space="preserve">. The </w:t>
      </w:r>
      <w:r w:rsidR="00631F67" w:rsidRPr="00631F67">
        <w:t>In-chamber HEPA continuously filters the entire chamber air volume every 60 seconds</w:t>
      </w:r>
      <w:r w:rsidR="00631F67">
        <w:t xml:space="preserve"> and the steri-run sterilization feature ensures </w:t>
      </w:r>
      <w:r w:rsidR="00DA3928" w:rsidRPr="00DA3928">
        <w:t>elimination of all biological contaminants</w:t>
      </w:r>
      <w:r w:rsidR="00DA3928">
        <w:t>.</w:t>
      </w:r>
    </w:p>
    <w:p w14:paraId="6A2BE77B" w14:textId="4006E6FB" w:rsidR="00001555" w:rsidRPr="002820D5" w:rsidRDefault="00001555" w:rsidP="006D33F0">
      <w:pPr>
        <w:pStyle w:val="GrantParagraph"/>
      </w:pPr>
      <w:r w:rsidRPr="006D33F0">
        <w:rPr>
          <w:bCs w:val="0"/>
          <w:u w:val="single"/>
        </w:rPr>
        <w:t>T</w:t>
      </w:r>
      <w:r w:rsidR="00CA4031">
        <w:rPr>
          <w:bCs w:val="0"/>
          <w:u w:val="single"/>
        </w:rPr>
        <w:t>hree</w:t>
      </w:r>
      <w:r w:rsidRPr="006D33F0">
        <w:rPr>
          <w:bCs w:val="0"/>
          <w:u w:val="single"/>
        </w:rPr>
        <w:t xml:space="preserve"> EVOS</w:t>
      </w:r>
      <w:r w:rsidR="00DA3928" w:rsidRPr="006D33F0">
        <w:rPr>
          <w:bCs w:val="0"/>
          <w:u w:val="single"/>
        </w:rPr>
        <w:t xml:space="preserve"> XL Core</w:t>
      </w:r>
      <w:r w:rsidRPr="006D33F0">
        <w:rPr>
          <w:bCs w:val="0"/>
          <w:u w:val="single"/>
        </w:rPr>
        <w:t xml:space="preserve"> microscopes</w:t>
      </w:r>
      <w:r w:rsidR="006D33F0">
        <w:rPr>
          <w:bCs w:val="0"/>
        </w:rPr>
        <w:t>:</w:t>
      </w:r>
      <w:r w:rsidR="00DA3928">
        <w:rPr>
          <w:b/>
        </w:rPr>
        <w:t xml:space="preserve"> </w:t>
      </w:r>
      <w:r w:rsidR="00DA3928" w:rsidRPr="00DA3928">
        <w:t>The EVOS®XL Core Imaging System is a digital, transmitted</w:t>
      </w:r>
      <w:r w:rsidR="00DA3928">
        <w:t xml:space="preserve"> </w:t>
      </w:r>
      <w:r w:rsidR="00DA3928" w:rsidRPr="00DA3928">
        <w:t>light, inverted imaging system for cell and tissue culture applications and routine cell maintenance.</w:t>
      </w:r>
      <w:r w:rsidR="00DA3928">
        <w:t xml:space="preserve"> These compact systems are kept inside the biosafety cabinets and allow for routine imaging of cells without the worry of contamination </w:t>
      </w:r>
      <w:r w:rsidR="009048C2">
        <w:t xml:space="preserve">from </w:t>
      </w:r>
      <w:r w:rsidR="00DA3928">
        <w:t xml:space="preserve">exposure </w:t>
      </w:r>
      <w:r w:rsidR="009048C2">
        <w:t xml:space="preserve">to </w:t>
      </w:r>
      <w:r w:rsidR="00DA3928">
        <w:t xml:space="preserve">the environment outside the cabinet. The large LCD screens </w:t>
      </w:r>
      <w:r w:rsidR="009048C2">
        <w:t xml:space="preserve">allow for multiple user viewing and </w:t>
      </w:r>
      <w:r w:rsidR="00DA3928">
        <w:t>are excellent for training and teaching</w:t>
      </w:r>
      <w:r w:rsidR="009048C2">
        <w:t>.</w:t>
      </w:r>
    </w:p>
    <w:p w14:paraId="3DC91875" w14:textId="56067D88" w:rsidR="00001555" w:rsidRPr="002820D5" w:rsidRDefault="00001555" w:rsidP="006D33F0">
      <w:pPr>
        <w:pStyle w:val="GrantParagraph"/>
      </w:pPr>
      <w:r w:rsidRPr="006D33F0">
        <w:rPr>
          <w:bCs w:val="0"/>
          <w:u w:val="single"/>
        </w:rPr>
        <w:t>Worthington LS6000 liquid nitrogen dewar with CS100 Automatic Controller</w:t>
      </w:r>
      <w:r w:rsidR="006D33F0">
        <w:rPr>
          <w:bCs w:val="0"/>
        </w:rPr>
        <w:t>:</w:t>
      </w:r>
      <w:r w:rsidRPr="00001555">
        <w:rPr>
          <w:b/>
        </w:rPr>
        <w:t xml:space="preserve"> </w:t>
      </w:r>
      <w:r w:rsidR="009048C2">
        <w:t>A liquid nitrogen refrigeration system that holds nearly 5000 2 ml cryovials for cryogenic storage of cells. The CS100 controller is a sophisticated automatic level controller that provides standard alarms and stores more than 500,000 events.</w:t>
      </w:r>
    </w:p>
    <w:p w14:paraId="600D5F04" w14:textId="7E6E297E" w:rsidR="00001555" w:rsidRPr="002820D5" w:rsidRDefault="007971AC" w:rsidP="006D33F0">
      <w:pPr>
        <w:pStyle w:val="GrantParagraph"/>
      </w:pPr>
      <w:r w:rsidRPr="006D33F0">
        <w:rPr>
          <w:bCs w:val="0"/>
          <w:u w:val="single"/>
        </w:rPr>
        <w:t xml:space="preserve">ThermoFisher </w:t>
      </w:r>
      <w:r w:rsidR="00001555" w:rsidRPr="006D33F0">
        <w:rPr>
          <w:bCs w:val="0"/>
          <w:u w:val="single"/>
        </w:rPr>
        <w:t xml:space="preserve">Sovall </w:t>
      </w:r>
      <w:r w:rsidR="009048C2" w:rsidRPr="006D33F0">
        <w:rPr>
          <w:bCs w:val="0"/>
          <w:u w:val="single"/>
        </w:rPr>
        <w:t xml:space="preserve">ST16 </w:t>
      </w:r>
      <w:r w:rsidR="00001555" w:rsidRPr="006D33F0">
        <w:rPr>
          <w:bCs w:val="0"/>
          <w:u w:val="single"/>
        </w:rPr>
        <w:t>centrifuge</w:t>
      </w:r>
      <w:r w:rsidR="006D33F0">
        <w:rPr>
          <w:bCs w:val="0"/>
        </w:rPr>
        <w:t>:</w:t>
      </w:r>
      <w:r w:rsidR="00587A2C">
        <w:rPr>
          <w:b/>
        </w:rPr>
        <w:t xml:space="preserve"> </w:t>
      </w:r>
      <w:r w:rsidR="00587A2C" w:rsidRPr="00587A2C">
        <w:t>A benchtop machine to perform cell culture and blood processing applications</w:t>
      </w:r>
      <w:r w:rsidR="00587A2C">
        <w:t xml:space="preserve"> with a variety of rotors for 15 ml tubes, 50 ml tubes and microcentrifuge tubes.</w:t>
      </w:r>
    </w:p>
    <w:p w14:paraId="1875EF82" w14:textId="0FF47725" w:rsidR="00001555" w:rsidRPr="002820D5" w:rsidRDefault="007971AC" w:rsidP="006D33F0">
      <w:pPr>
        <w:pStyle w:val="GrantParagraph"/>
      </w:pPr>
      <w:r w:rsidRPr="006D33F0">
        <w:rPr>
          <w:bCs w:val="0"/>
          <w:u w:val="single"/>
        </w:rPr>
        <w:t xml:space="preserve">Fisher </w:t>
      </w:r>
      <w:r w:rsidR="00001555" w:rsidRPr="006D33F0">
        <w:rPr>
          <w:bCs w:val="0"/>
          <w:u w:val="single"/>
        </w:rPr>
        <w:t>ISOtemo waterbath</w:t>
      </w:r>
      <w:r w:rsidR="006D33F0" w:rsidRPr="006D33F0">
        <w:rPr>
          <w:bCs w:val="0"/>
        </w:rPr>
        <w:t>:</w:t>
      </w:r>
      <w:r w:rsidR="0077625E">
        <w:rPr>
          <w:b/>
        </w:rPr>
        <w:t xml:space="preserve"> </w:t>
      </w:r>
      <w:r w:rsidR="00587A2C">
        <w:t>A water bath that allows for consistent temperatures and reliability for routine culturing purposes.</w:t>
      </w:r>
    </w:p>
    <w:p w14:paraId="5EB38F7A" w14:textId="72D3B267" w:rsidR="00587A2C" w:rsidRDefault="007971AC" w:rsidP="006D33F0">
      <w:pPr>
        <w:pStyle w:val="GrantParagraph"/>
      </w:pPr>
      <w:r w:rsidRPr="006D33F0">
        <w:rPr>
          <w:bCs w:val="0"/>
          <w:u w:val="single"/>
        </w:rPr>
        <w:t xml:space="preserve">Applied Biosystems </w:t>
      </w:r>
      <w:r w:rsidR="00001555" w:rsidRPr="006D33F0">
        <w:rPr>
          <w:bCs w:val="0"/>
          <w:u w:val="single"/>
        </w:rPr>
        <w:t>Countess II FL</w:t>
      </w:r>
      <w:r w:rsidR="006D33F0">
        <w:rPr>
          <w:bCs w:val="0"/>
        </w:rPr>
        <w:t>:</w:t>
      </w:r>
      <w:r w:rsidR="00001555">
        <w:rPr>
          <w:b/>
        </w:rPr>
        <w:t xml:space="preserve"> </w:t>
      </w:r>
      <w:r w:rsidR="00001555">
        <w:t xml:space="preserve">A </w:t>
      </w:r>
      <w:r w:rsidR="00587A2C" w:rsidRPr="00587A2C">
        <w:t xml:space="preserve">benchtop </w:t>
      </w:r>
      <w:r w:rsidR="00587A2C">
        <w:t xml:space="preserve">cell counter </w:t>
      </w:r>
      <w:r w:rsidR="00587A2C" w:rsidRPr="00587A2C">
        <w:t xml:space="preserve">equipped with state-of-the-art optics, full autofocus, and image analysis software for rapid assessment of cells in suspension. </w:t>
      </w:r>
      <w:r w:rsidR="00587A2C">
        <w:t>It comes w</w:t>
      </w:r>
      <w:r w:rsidR="00587A2C" w:rsidRPr="00587A2C">
        <w:t xml:space="preserve">ith three-channel </w:t>
      </w:r>
      <w:r w:rsidR="00587A2C">
        <w:t>flexibility (</w:t>
      </w:r>
      <w:r w:rsidR="00587A2C" w:rsidRPr="00587A2C">
        <w:t>brightfield and two optional fluorescence channels</w:t>
      </w:r>
      <w:r w:rsidR="00587A2C">
        <w:t xml:space="preserve">) to </w:t>
      </w:r>
      <w:r w:rsidR="00587A2C" w:rsidRPr="00587A2C">
        <w:t>count cells, monitor fluorescent protein expression, evaluate apoptosis, and measure cell viability.</w:t>
      </w:r>
    </w:p>
    <w:p w14:paraId="52DB2A50" w14:textId="69AB6783" w:rsidR="00001555" w:rsidRPr="002820D5" w:rsidRDefault="007971AC" w:rsidP="006D33F0">
      <w:pPr>
        <w:pStyle w:val="GrantParagraph"/>
      </w:pPr>
      <w:r w:rsidRPr="006D33F0">
        <w:rPr>
          <w:bCs w:val="0"/>
          <w:u w:val="single"/>
        </w:rPr>
        <w:t xml:space="preserve">Invitrogen </w:t>
      </w:r>
      <w:r w:rsidR="00001555" w:rsidRPr="006D33F0">
        <w:rPr>
          <w:bCs w:val="0"/>
          <w:u w:val="single"/>
        </w:rPr>
        <w:t>Qubit</w:t>
      </w:r>
      <w:r w:rsidR="00587A2C" w:rsidRPr="006D33F0">
        <w:rPr>
          <w:bCs w:val="0"/>
          <w:u w:val="single"/>
        </w:rPr>
        <w:t xml:space="preserve"> Fluor</w:t>
      </w:r>
      <w:r w:rsidR="00551CFE" w:rsidRPr="006D33F0">
        <w:rPr>
          <w:bCs w:val="0"/>
          <w:u w:val="single"/>
        </w:rPr>
        <w:t>ometer</w:t>
      </w:r>
      <w:r w:rsidR="006D33F0" w:rsidRPr="006D33F0">
        <w:rPr>
          <w:bCs w:val="0"/>
        </w:rPr>
        <w:t>:</w:t>
      </w:r>
      <w:r w:rsidR="00001555">
        <w:rPr>
          <w:b/>
        </w:rPr>
        <w:t xml:space="preserve"> </w:t>
      </w:r>
      <w:r w:rsidR="00551CFE" w:rsidRPr="00551CFE">
        <w:t>A fluorometer designed to accurately measure DNA, RNA, and protein quantity</w:t>
      </w:r>
      <w:r w:rsidR="00551CFE">
        <w:t xml:space="preserve"> in less than 3 seconds per sample with high levels of accuracy using only 1-20 ul of sample.</w:t>
      </w:r>
    </w:p>
    <w:p w14:paraId="58060572" w14:textId="202FBE60" w:rsidR="00001555" w:rsidRPr="002820D5" w:rsidRDefault="00551CFE" w:rsidP="006D33F0">
      <w:pPr>
        <w:pStyle w:val="GrantParagraph"/>
      </w:pPr>
      <w:r w:rsidRPr="006D33F0">
        <w:rPr>
          <w:bCs w:val="0"/>
          <w:u w:val="single"/>
        </w:rPr>
        <w:t xml:space="preserve">Applied Biosystems </w:t>
      </w:r>
      <w:r w:rsidR="00001555" w:rsidRPr="006D33F0">
        <w:rPr>
          <w:bCs w:val="0"/>
          <w:u w:val="single"/>
        </w:rPr>
        <w:t xml:space="preserve">SimpliAmp </w:t>
      </w:r>
      <w:r w:rsidRPr="006D33F0">
        <w:rPr>
          <w:bCs w:val="0"/>
          <w:u w:val="single"/>
        </w:rPr>
        <w:t>T</w:t>
      </w:r>
      <w:r w:rsidR="00001555" w:rsidRPr="006D33F0">
        <w:rPr>
          <w:bCs w:val="0"/>
          <w:u w:val="single"/>
        </w:rPr>
        <w:t>herm</w:t>
      </w:r>
      <w:r w:rsidRPr="006D33F0">
        <w:rPr>
          <w:bCs w:val="0"/>
          <w:u w:val="single"/>
        </w:rPr>
        <w:t>al C</w:t>
      </w:r>
      <w:r w:rsidR="00001555" w:rsidRPr="006D33F0">
        <w:rPr>
          <w:bCs w:val="0"/>
          <w:u w:val="single"/>
        </w:rPr>
        <w:t>ycler</w:t>
      </w:r>
      <w:r w:rsidR="006D33F0">
        <w:rPr>
          <w:bCs w:val="0"/>
        </w:rPr>
        <w:t>:</w:t>
      </w:r>
      <w:r>
        <w:rPr>
          <w:b/>
        </w:rPr>
        <w:t xml:space="preserve"> </w:t>
      </w:r>
      <w:r>
        <w:t>A compact 96 well thermal cycler for essential PCR flow and a veriflex temperature control for 3 zones with accurate optimization.</w:t>
      </w:r>
    </w:p>
    <w:p w14:paraId="400EADB4" w14:textId="24D82C12" w:rsidR="00001555" w:rsidRPr="002820D5" w:rsidRDefault="007971AC" w:rsidP="006D33F0">
      <w:pPr>
        <w:pStyle w:val="GrantParagraph"/>
      </w:pPr>
      <w:r w:rsidRPr="006D33F0">
        <w:rPr>
          <w:bCs w:val="0"/>
          <w:u w:val="single"/>
        </w:rPr>
        <w:t xml:space="preserve">Invitrogen </w:t>
      </w:r>
      <w:r w:rsidR="00001555" w:rsidRPr="006D33F0">
        <w:rPr>
          <w:bCs w:val="0"/>
          <w:u w:val="single"/>
        </w:rPr>
        <w:t xml:space="preserve">E-gel </w:t>
      </w:r>
      <w:r w:rsidR="00551CFE" w:rsidRPr="006D33F0">
        <w:rPr>
          <w:bCs w:val="0"/>
          <w:u w:val="single"/>
        </w:rPr>
        <w:t>iBase and Safe Imager El</w:t>
      </w:r>
      <w:r w:rsidR="00001555" w:rsidRPr="006D33F0">
        <w:rPr>
          <w:bCs w:val="0"/>
          <w:u w:val="single"/>
        </w:rPr>
        <w:t>ectrophoresis</w:t>
      </w:r>
      <w:r w:rsidR="00551CFE" w:rsidRPr="006D33F0">
        <w:rPr>
          <w:bCs w:val="0"/>
          <w:u w:val="single"/>
        </w:rPr>
        <w:t xml:space="preserve"> </w:t>
      </w:r>
      <w:r w:rsidR="006D33F0" w:rsidRPr="006D33F0">
        <w:rPr>
          <w:bCs w:val="0"/>
          <w:u w:val="single"/>
        </w:rPr>
        <w:t>S</w:t>
      </w:r>
      <w:r w:rsidR="00551CFE" w:rsidRPr="006D33F0">
        <w:rPr>
          <w:bCs w:val="0"/>
          <w:u w:val="single"/>
        </w:rPr>
        <w:t>ystem</w:t>
      </w:r>
      <w:r w:rsidR="006D33F0">
        <w:rPr>
          <w:bCs w:val="0"/>
        </w:rPr>
        <w:t>:</w:t>
      </w:r>
      <w:r w:rsidR="00551CFE">
        <w:rPr>
          <w:b/>
        </w:rPr>
        <w:t xml:space="preserve"> </w:t>
      </w:r>
      <w:r w:rsidR="00551CFE">
        <w:t>A</w:t>
      </w:r>
      <w:r>
        <w:t xml:space="preserve"> electrophoresis system allows for the separation of DNA in 7 minutes and the  </w:t>
      </w:r>
      <w:r w:rsidR="00551CFE">
        <w:t xml:space="preserve">transilluminator </w:t>
      </w:r>
      <w:r>
        <w:t>that allows real-time visualization of the migration of  the DNA in the e-gels. This system replaces the need for staining with ethidium bromide and visualization using UV making it a much safer and more effective way to visualize DNA.</w:t>
      </w:r>
    </w:p>
    <w:p w14:paraId="393AD50E" w14:textId="157B488C" w:rsidR="00001555" w:rsidRDefault="007971AC" w:rsidP="006D33F0">
      <w:pPr>
        <w:pStyle w:val="GrantParagraph"/>
      </w:pPr>
      <w:r w:rsidRPr="006D33F0">
        <w:rPr>
          <w:bCs w:val="0"/>
          <w:u w:val="single"/>
        </w:rPr>
        <w:t xml:space="preserve">Invitrogen </w:t>
      </w:r>
      <w:r w:rsidR="00001555" w:rsidRPr="006D33F0">
        <w:rPr>
          <w:bCs w:val="0"/>
          <w:u w:val="single"/>
        </w:rPr>
        <w:t>Neon</w:t>
      </w:r>
      <w:r w:rsidRPr="006D33F0">
        <w:rPr>
          <w:bCs w:val="0"/>
          <w:u w:val="single"/>
        </w:rPr>
        <w:t xml:space="preserve"> Transfection System</w:t>
      </w:r>
      <w:r w:rsidR="006D33F0">
        <w:t>:</w:t>
      </w:r>
      <w:r w:rsidR="00001555" w:rsidRPr="00B61A91">
        <w:t xml:space="preserve"> </w:t>
      </w:r>
      <w:r w:rsidRPr="00B61A91">
        <w:t xml:space="preserve">A </w:t>
      </w:r>
      <w:r w:rsidR="00B61A91">
        <w:t xml:space="preserve">transfection </w:t>
      </w:r>
      <w:r w:rsidRPr="00B61A91">
        <w:t>machine that enables fast and efficient delivery o</w:t>
      </w:r>
      <w:r w:rsidR="00B61A91" w:rsidRPr="00B61A91">
        <w:t>f nucleic acids into all mammalian cell types including primary and stem cells. Unlike standard cuvette-based electroporation chambers</w:t>
      </w:r>
      <w:r w:rsidR="00B61A91">
        <w:rPr>
          <w:rFonts w:ascii="Helvetica Neue" w:hAnsi="Helvetica Neue"/>
          <w:color w:val="333333"/>
          <w:sz w:val="20"/>
          <w:szCs w:val="20"/>
          <w:shd w:val="clear" w:color="auto" w:fill="FFFFFF"/>
        </w:rPr>
        <w:t xml:space="preserve">, the neon uses </w:t>
      </w:r>
      <w:r w:rsidR="00B61A91" w:rsidRPr="00B61A91">
        <w:t>biologically compatible pipette tip chamber that generates a more uniform electric field</w:t>
      </w:r>
      <w:r w:rsidR="00B61A91">
        <w:t xml:space="preserve"> in 10 or 100 ul reactions.</w:t>
      </w:r>
    </w:p>
    <w:p w14:paraId="21451438" w14:textId="5E4E3C6E" w:rsidR="006E6B9C" w:rsidRPr="00115E6D" w:rsidRDefault="006E2818" w:rsidP="006D33F0">
      <w:pPr>
        <w:pStyle w:val="GrantParagraph"/>
      </w:pPr>
      <w:r>
        <w:rPr>
          <w:u w:val="single"/>
        </w:rPr>
        <w:t xml:space="preserve">Two Infors HT Celltron orbital shaker for CO2 incubators: </w:t>
      </w:r>
      <w:r w:rsidR="00115E6D" w:rsidRPr="00115E6D">
        <w:t xml:space="preserve">The Celltron is a small shaker specially developed for use in CO2 incubators — one that uses minimal energy and has an antimicrobial coating, making it perfect for starting out with shaking </w:t>
      </w:r>
      <w:r w:rsidR="00115E6D">
        <w:t xml:space="preserve">brain organoids </w:t>
      </w:r>
      <w:r w:rsidR="00115E6D" w:rsidRPr="00115E6D">
        <w:t>cultures.</w:t>
      </w:r>
    </w:p>
    <w:p w14:paraId="707282F9" w14:textId="2A5A99FE" w:rsidR="00001555" w:rsidRPr="002820D5" w:rsidRDefault="00001555" w:rsidP="006D33F0">
      <w:pPr>
        <w:pStyle w:val="GrantParagraph"/>
        <w:rPr>
          <w:b/>
        </w:rPr>
      </w:pPr>
      <w:r w:rsidRPr="002820D5">
        <w:rPr>
          <w:b/>
        </w:rPr>
        <w:t xml:space="preserve">Additional </w:t>
      </w:r>
      <w:r w:rsidR="00B61A91" w:rsidRPr="002820D5">
        <w:rPr>
          <w:b/>
        </w:rPr>
        <w:t xml:space="preserve">Equipment </w:t>
      </w:r>
      <w:r w:rsidRPr="002820D5">
        <w:rPr>
          <w:b/>
        </w:rPr>
        <w:t xml:space="preserve">Access to: </w:t>
      </w:r>
    </w:p>
    <w:p w14:paraId="4703FD92" w14:textId="357C29FB" w:rsidR="00001555" w:rsidRPr="002820D5" w:rsidRDefault="00001555" w:rsidP="006D33F0">
      <w:pPr>
        <w:pStyle w:val="GrantParagraph"/>
      </w:pPr>
      <w:r w:rsidRPr="006D33F0">
        <w:rPr>
          <w:bCs w:val="0"/>
          <w:u w:val="single"/>
        </w:rPr>
        <w:t xml:space="preserve">Nikon </w:t>
      </w:r>
      <w:r w:rsidR="00B61A91" w:rsidRPr="006D33F0">
        <w:rPr>
          <w:bCs w:val="0"/>
          <w:u w:val="single"/>
        </w:rPr>
        <w:t xml:space="preserve">Eclipse </w:t>
      </w:r>
      <w:r w:rsidR="009048C2" w:rsidRPr="006D33F0">
        <w:rPr>
          <w:bCs w:val="0"/>
          <w:u w:val="single"/>
        </w:rPr>
        <w:t>T</w:t>
      </w:r>
      <w:r w:rsidR="00B61A91" w:rsidRPr="006D33F0">
        <w:rPr>
          <w:bCs w:val="0"/>
          <w:u w:val="single"/>
        </w:rPr>
        <w:t xml:space="preserve">I </w:t>
      </w:r>
      <w:r w:rsidRPr="006D33F0">
        <w:rPr>
          <w:bCs w:val="0"/>
          <w:u w:val="single"/>
        </w:rPr>
        <w:t>Fluorescen</w:t>
      </w:r>
      <w:r w:rsidR="0077625E" w:rsidRPr="006D33F0">
        <w:rPr>
          <w:bCs w:val="0"/>
          <w:u w:val="single"/>
        </w:rPr>
        <w:t>ce</w:t>
      </w:r>
      <w:r w:rsidRPr="006D33F0">
        <w:rPr>
          <w:bCs w:val="0"/>
          <w:u w:val="single"/>
        </w:rPr>
        <w:t xml:space="preserve"> Microscope</w:t>
      </w:r>
      <w:r w:rsidR="006D33F0">
        <w:rPr>
          <w:bCs w:val="0"/>
        </w:rPr>
        <w:t>:</w:t>
      </w:r>
      <w:r>
        <w:rPr>
          <w:b/>
        </w:rPr>
        <w:t xml:space="preserve"> </w:t>
      </w:r>
      <w:r w:rsidR="00B61A91" w:rsidRPr="00B61A91">
        <w:t xml:space="preserve">An inverted </w:t>
      </w:r>
      <w:r w:rsidR="00B61A91">
        <w:t xml:space="preserve">motorized </w:t>
      </w:r>
      <w:r w:rsidR="00B61A91" w:rsidRPr="00B61A91">
        <w:t xml:space="preserve">microscope for fluorescence imaging of </w:t>
      </w:r>
      <w:r w:rsidR="00B61A91">
        <w:t xml:space="preserve">live or fixed cells on </w:t>
      </w:r>
      <w:r w:rsidR="00B61A91" w:rsidRPr="00B61A91">
        <w:t xml:space="preserve">slides. </w:t>
      </w:r>
    </w:p>
    <w:p w14:paraId="7F23AC6B" w14:textId="38F3ADAE" w:rsidR="00001555" w:rsidRPr="00587A2C" w:rsidRDefault="00001555" w:rsidP="006D33F0">
      <w:pPr>
        <w:pStyle w:val="GrantParagraph"/>
      </w:pPr>
      <w:r w:rsidRPr="006D33F0">
        <w:rPr>
          <w:bCs w:val="0"/>
          <w:u w:val="single"/>
        </w:rPr>
        <w:lastRenderedPageBreak/>
        <w:t xml:space="preserve">Nikon </w:t>
      </w:r>
      <w:r w:rsidR="009048C2" w:rsidRPr="006D33F0">
        <w:rPr>
          <w:bCs w:val="0"/>
          <w:u w:val="single"/>
        </w:rPr>
        <w:t xml:space="preserve">Biostation </w:t>
      </w:r>
      <w:r w:rsidR="00587A2C" w:rsidRPr="006D33F0">
        <w:rPr>
          <w:bCs w:val="0"/>
          <w:u w:val="single"/>
        </w:rPr>
        <w:t xml:space="preserve">IM </w:t>
      </w:r>
      <w:r w:rsidRPr="006D33F0">
        <w:rPr>
          <w:bCs w:val="0"/>
          <w:u w:val="single"/>
        </w:rPr>
        <w:t>Microscope</w:t>
      </w:r>
      <w:r w:rsidR="006D33F0">
        <w:rPr>
          <w:bCs w:val="0"/>
        </w:rPr>
        <w:t>:</w:t>
      </w:r>
      <w:r>
        <w:rPr>
          <w:b/>
        </w:rPr>
        <w:t xml:space="preserve"> </w:t>
      </w:r>
      <w:r w:rsidR="00587A2C">
        <w:t xml:space="preserve">A live cell imaging system </w:t>
      </w:r>
      <w:r w:rsidR="005F2AE4">
        <w:t>that incorporates a microscope, an incubator and CCD camera to provide a stable environment for live cells imaging and simple long term time lapse data acquisition.</w:t>
      </w:r>
    </w:p>
    <w:p w14:paraId="3B9C8875" w14:textId="538817E7" w:rsidR="00001555" w:rsidRPr="002820D5" w:rsidRDefault="00001555" w:rsidP="006D33F0">
      <w:pPr>
        <w:pStyle w:val="GrantParagraph"/>
      </w:pPr>
      <w:r w:rsidRPr="006D33F0">
        <w:rPr>
          <w:bCs w:val="0"/>
          <w:u w:val="single"/>
        </w:rPr>
        <w:t>Keyence Fluorescen</w:t>
      </w:r>
      <w:r w:rsidR="0077625E" w:rsidRPr="006D33F0">
        <w:rPr>
          <w:bCs w:val="0"/>
          <w:u w:val="single"/>
        </w:rPr>
        <w:t>ce</w:t>
      </w:r>
      <w:r w:rsidRPr="006D33F0">
        <w:rPr>
          <w:bCs w:val="0"/>
          <w:u w:val="single"/>
        </w:rPr>
        <w:t xml:space="preserve"> Microscope</w:t>
      </w:r>
      <w:r w:rsidRPr="002820D5">
        <w:t xml:space="preserve">. </w:t>
      </w:r>
      <w:r w:rsidR="0077625E" w:rsidRPr="002820D5">
        <w:t xml:space="preserve">A benchtop microscope that captures high-resolution publication quality images without the necessity of a dark room. It accommodates brightfield, fluorescence, and phase contrast observation with a single unit. It supports slides, cell-plates, dishes, and flasks for imaging different samples. </w:t>
      </w:r>
    </w:p>
    <w:p w14:paraId="4A976AD3" w14:textId="071478CB" w:rsidR="00001555" w:rsidRPr="002820D5" w:rsidRDefault="00001555" w:rsidP="006D33F0">
      <w:pPr>
        <w:pStyle w:val="GrantParagraph"/>
      </w:pPr>
      <w:r w:rsidRPr="006D33F0">
        <w:rPr>
          <w:bCs w:val="0"/>
          <w:u w:val="single"/>
        </w:rPr>
        <w:t>Applied Bios</w:t>
      </w:r>
      <w:r w:rsidR="00587A2C" w:rsidRPr="006D33F0">
        <w:rPr>
          <w:bCs w:val="0"/>
          <w:u w:val="single"/>
        </w:rPr>
        <w:t>ystems QuantiStudio 6 Flex</w:t>
      </w:r>
      <w:r w:rsidRPr="006D33F0">
        <w:rPr>
          <w:bCs w:val="0"/>
          <w:u w:val="single"/>
        </w:rPr>
        <w:t xml:space="preserve"> </w:t>
      </w:r>
      <w:r w:rsidR="005F2AE4" w:rsidRPr="006D33F0">
        <w:rPr>
          <w:bCs w:val="0"/>
          <w:u w:val="single"/>
        </w:rPr>
        <w:t xml:space="preserve">Real Time </w:t>
      </w:r>
      <w:r w:rsidRPr="006D33F0">
        <w:rPr>
          <w:bCs w:val="0"/>
          <w:u w:val="single"/>
        </w:rPr>
        <w:t>PCR</w:t>
      </w:r>
      <w:r w:rsidR="005F2AE4" w:rsidRPr="006D33F0">
        <w:rPr>
          <w:bCs w:val="0"/>
          <w:u w:val="single"/>
        </w:rPr>
        <w:t xml:space="preserve"> system</w:t>
      </w:r>
      <w:r w:rsidR="006D33F0" w:rsidRPr="006D33F0">
        <w:rPr>
          <w:bCs w:val="0"/>
        </w:rPr>
        <w:t>:</w:t>
      </w:r>
      <w:r>
        <w:rPr>
          <w:b/>
        </w:rPr>
        <w:t xml:space="preserve"> </w:t>
      </w:r>
      <w:r w:rsidR="005F2AE4" w:rsidRPr="005F2AE4">
        <w:t>A real time PCR machine with a 96 well block for assays for gene expression, genetic variation, gene regulation, or protein expression experiments</w:t>
      </w:r>
      <w:r w:rsidR="005F2AE4">
        <w:t>.</w:t>
      </w:r>
    </w:p>
    <w:p w14:paraId="0754E1C1" w14:textId="11D1A782" w:rsidR="00001555" w:rsidRPr="002820D5" w:rsidRDefault="00001555" w:rsidP="006D33F0">
      <w:pPr>
        <w:pStyle w:val="GrantParagraph"/>
      </w:pPr>
      <w:r w:rsidRPr="000B4225">
        <w:rPr>
          <w:bCs w:val="0"/>
          <w:u w:val="single"/>
        </w:rPr>
        <w:t xml:space="preserve">Biorad </w:t>
      </w:r>
      <w:r w:rsidR="00587A2C" w:rsidRPr="000B4225">
        <w:rPr>
          <w:bCs w:val="0"/>
          <w:u w:val="single"/>
        </w:rPr>
        <w:t>ChemiDoc MP Imaging System</w:t>
      </w:r>
      <w:r w:rsidR="006D33F0" w:rsidRPr="006D33F0">
        <w:rPr>
          <w:bCs w:val="0"/>
        </w:rPr>
        <w:t>:</w:t>
      </w:r>
      <w:r>
        <w:rPr>
          <w:b/>
        </w:rPr>
        <w:t xml:space="preserve"> </w:t>
      </w:r>
      <w:r w:rsidR="005F2AE4" w:rsidRPr="005F2AE4">
        <w:t xml:space="preserve">A full feature instrument for imaging and analyzing gels and western blots. </w:t>
      </w:r>
      <w:r w:rsidR="006C3BC3">
        <w:t>It is designed for multiplex fluorescent western blotting, chemiluminescence detection, general gel documentation and stain-free imaging.</w:t>
      </w:r>
    </w:p>
    <w:p w14:paraId="3EB8E100" w14:textId="4983A83A" w:rsidR="00001555" w:rsidRPr="002820D5" w:rsidRDefault="00407B95" w:rsidP="006D33F0">
      <w:pPr>
        <w:pStyle w:val="GrantParagraph"/>
      </w:pPr>
      <w:r w:rsidRPr="006D33F0">
        <w:rPr>
          <w:bCs w:val="0"/>
          <w:u w:val="single"/>
        </w:rPr>
        <w:t>Synergy H1 Hybrid Multi-Mode Reader</w:t>
      </w:r>
      <w:r w:rsidR="006D33F0">
        <w:rPr>
          <w:bCs w:val="0"/>
        </w:rPr>
        <w:t>:</w:t>
      </w:r>
      <w:r w:rsidR="00587A2C" w:rsidRPr="00407B95">
        <w:rPr>
          <w:b/>
        </w:rPr>
        <w:t xml:space="preserve"> </w:t>
      </w:r>
      <w:r w:rsidRPr="00407B95">
        <w:rPr>
          <w:rFonts w:eastAsiaTheme="minorHAnsi"/>
        </w:rPr>
        <w:t>Synergy™ H1 is a configurable multi-mode microplate reader, with monochromator-based optics for flexibility, filter-based optics for sensitivity, or both</w:t>
      </w:r>
      <w:r>
        <w:rPr>
          <w:rFonts w:eastAsiaTheme="minorHAnsi"/>
        </w:rPr>
        <w:t xml:space="preserve">. </w:t>
      </w:r>
      <w:r w:rsidRPr="00407B95">
        <w:rPr>
          <w:rFonts w:eastAsiaTheme="minorHAnsi"/>
        </w:rPr>
        <w:t>BioTek’s patented </w:t>
      </w:r>
      <w:hyperlink r:id="rId7" w:history="1">
        <w:r w:rsidRPr="00407B95">
          <w:rPr>
            <w:rFonts w:eastAsiaTheme="minorHAnsi"/>
            <w:color w:val="000000" w:themeColor="text1"/>
          </w:rPr>
          <w:t>Hybrid Technology™</w:t>
        </w:r>
      </w:hyperlink>
      <w:r w:rsidRPr="00407B95">
        <w:rPr>
          <w:rFonts w:eastAsiaTheme="minorHAnsi"/>
        </w:rPr>
        <w:t> offers applications versatility and excellent performance in a modular platform to expand as your laboratory’s needs change. Synergy H1 now offers continuously variable bandwidth monochromators for fluorescence excitation and emission wavelength selection; the fluorescence bandwidth can be set between 9 nm and 50 nm, in 1 nm increments, allowing users to fully optimize reader settings to drive the best assay performance compared to fixed bandwidth systems.</w:t>
      </w:r>
    </w:p>
    <w:sectPr w:rsidR="00001555" w:rsidRPr="002820D5">
      <w:headerReference w:type="default" r:id="rId8"/>
      <w:footerReference w:type="default" r:id="rId9"/>
      <w:pgSz w:w="12240" w:h="15840"/>
      <w:pgMar w:top="720" w:right="720" w:bottom="720" w:left="720" w:header="320" w:footer="3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A64D" w14:textId="77777777" w:rsidR="00807768" w:rsidRDefault="00807768">
      <w:r>
        <w:separator/>
      </w:r>
    </w:p>
  </w:endnote>
  <w:endnote w:type="continuationSeparator" w:id="0">
    <w:p w14:paraId="0040F54A" w14:textId="77777777" w:rsidR="00807768" w:rsidRDefault="0080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7B0B" w14:textId="77777777" w:rsidR="00212DC1" w:rsidRDefault="000B42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F3E01" w14:textId="77777777" w:rsidR="00807768" w:rsidRDefault="00807768">
      <w:r>
        <w:separator/>
      </w:r>
    </w:p>
  </w:footnote>
  <w:footnote w:type="continuationSeparator" w:id="0">
    <w:p w14:paraId="5535ABED" w14:textId="77777777" w:rsidR="00807768" w:rsidRDefault="0080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A950" w14:textId="77777777" w:rsidR="00212DC1" w:rsidRDefault="000B42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7C1"/>
    <w:multiLevelType w:val="hybridMultilevel"/>
    <w:tmpl w:val="00000000"/>
    <w:styleLink w:val="BulletList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FFFFFFFF">
      <w:start w:val="1"/>
      <w:numFmt w:val="bullet"/>
      <w:lvlText w:val="•"/>
      <w:lvlJc w:val="left"/>
      <w:pPr>
        <w:ind w:left="720" w:hanging="360"/>
      </w:pPr>
    </w:lvl>
    <w:lvl w:ilvl="2" w:tplc="FFFFFFFF">
      <w:start w:val="1"/>
      <w:numFmt w:val="bullet"/>
      <w:lvlText w:val="•"/>
      <w:lvlJc w:val="left"/>
      <w:pPr>
        <w:ind w:left="1080" w:hanging="360"/>
      </w:pPr>
    </w:lvl>
    <w:lvl w:ilvl="3" w:tplc="FFFFFFFF">
      <w:start w:val="1"/>
      <w:numFmt w:val="bullet"/>
      <w:lvlText w:val="•"/>
      <w:lvlJc w:val="left"/>
      <w:pPr>
        <w:ind w:left="1440" w:hanging="360"/>
      </w:pPr>
    </w:lvl>
    <w:lvl w:ilvl="4" w:tplc="FFFFFFFF">
      <w:start w:val="1"/>
      <w:numFmt w:val="bullet"/>
      <w:lvlText w:val="•"/>
      <w:lvlJc w:val="left"/>
      <w:pPr>
        <w:ind w:left="1800" w:hanging="360"/>
      </w:pPr>
    </w:lvl>
    <w:lvl w:ilvl="5" w:tplc="FFFFFFFF">
      <w:start w:val="1"/>
      <w:numFmt w:val="bullet"/>
      <w:lvlText w:val="•"/>
      <w:lvlJc w:val="left"/>
      <w:pPr>
        <w:ind w:left="2160" w:hanging="360"/>
      </w:pPr>
    </w:lvl>
    <w:lvl w:ilvl="6" w:tplc="FFFFFFFF">
      <w:start w:val="1"/>
      <w:numFmt w:val="bullet"/>
      <w:lvlText w:val="•"/>
      <w:lvlJc w:val="left"/>
      <w:pPr>
        <w:ind w:left="2520" w:hanging="360"/>
      </w:pPr>
    </w:lvl>
    <w:lvl w:ilvl="7" w:tplc="FFFFFFFF">
      <w:start w:val="1"/>
      <w:numFmt w:val="bullet"/>
      <w:lvlText w:val="•"/>
      <w:lvlJc w:val="left"/>
      <w:pPr>
        <w:ind w:left="2880" w:hanging="360"/>
      </w:pPr>
    </w:lvl>
    <w:lvl w:ilvl="8" w:tplc="FFFFFFFF">
      <w:start w:val="1"/>
      <w:numFmt w:val="bullet"/>
      <w:lvlText w:val="•"/>
      <w:lvlJc w:val="left"/>
      <w:pPr>
        <w:ind w:left="3240" w:hanging="360"/>
      </w:pPr>
    </w:lvl>
  </w:abstractNum>
  <w:abstractNum w:abstractNumId="1" w15:restartNumberingAfterBreak="0">
    <w:nsid w:val="69A36A71"/>
    <w:multiLevelType w:val="multilevel"/>
    <w:tmpl w:val="660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9428A"/>
    <w:multiLevelType w:val="multilevel"/>
    <w:tmpl w:val="F5A0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639257">
    <w:abstractNumId w:val="0"/>
    <w:lvlOverride w:ilvl="0"/>
    <w:lvlOverride w:ilvl="1"/>
    <w:lvlOverride w:ilvl="2">
      <w:startOverride w:val="1"/>
    </w:lvlOverride>
  </w:num>
  <w:num w:numId="2" w16cid:durableId="2095666272">
    <w:abstractNumId w:val="0"/>
  </w:num>
  <w:num w:numId="3" w16cid:durableId="1747220279">
    <w:abstractNumId w:val="1"/>
  </w:num>
  <w:num w:numId="4" w16cid:durableId="207423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6B"/>
    <w:rsid w:val="00001555"/>
    <w:rsid w:val="00027C65"/>
    <w:rsid w:val="00076BD3"/>
    <w:rsid w:val="000B4225"/>
    <w:rsid w:val="00115E6D"/>
    <w:rsid w:val="002820D5"/>
    <w:rsid w:val="002F08EE"/>
    <w:rsid w:val="00381189"/>
    <w:rsid w:val="00407B95"/>
    <w:rsid w:val="0053742C"/>
    <w:rsid w:val="00551CFE"/>
    <w:rsid w:val="00587A2C"/>
    <w:rsid w:val="005F2AE4"/>
    <w:rsid w:val="00631F67"/>
    <w:rsid w:val="006421BB"/>
    <w:rsid w:val="006C3BC3"/>
    <w:rsid w:val="006D33F0"/>
    <w:rsid w:val="006E2818"/>
    <w:rsid w:val="006E6B9C"/>
    <w:rsid w:val="006F6880"/>
    <w:rsid w:val="0077625E"/>
    <w:rsid w:val="0079534C"/>
    <w:rsid w:val="007971AC"/>
    <w:rsid w:val="007A1CFF"/>
    <w:rsid w:val="00807768"/>
    <w:rsid w:val="008F056B"/>
    <w:rsid w:val="009048C2"/>
    <w:rsid w:val="00951200"/>
    <w:rsid w:val="00A445CD"/>
    <w:rsid w:val="00B129AD"/>
    <w:rsid w:val="00B23C87"/>
    <w:rsid w:val="00B61A91"/>
    <w:rsid w:val="00B67C5E"/>
    <w:rsid w:val="00B863EF"/>
    <w:rsid w:val="00BA4C26"/>
    <w:rsid w:val="00CA4031"/>
    <w:rsid w:val="00D207AA"/>
    <w:rsid w:val="00DA3928"/>
    <w:rsid w:val="00DE602A"/>
    <w:rsid w:val="00E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B8E71"/>
  <w15:chartTrackingRefBased/>
  <w15:docId w15:val="{1FCC6613-C38F-084A-832B-152BFB6D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F0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056B"/>
    <w:rPr>
      <w:color w:val="0000FF"/>
      <w:u w:val="single"/>
    </w:rPr>
  </w:style>
  <w:style w:type="paragraph" w:customStyle="1" w:styleId="NormalIndented">
    <w:name w:val="Normal Indented"/>
    <w:uiPriority w:val="99"/>
    <w:rsid w:val="008F056B"/>
    <w:pPr>
      <w:autoSpaceDE w:val="0"/>
      <w:autoSpaceDN w:val="0"/>
      <w:adjustRightInd w:val="0"/>
      <w:ind w:left="720" w:hanging="360"/>
    </w:pPr>
    <w:rPr>
      <w:rFonts w:ascii="Arial" w:eastAsiaTheme="minorEastAsia" w:hAnsi="Arial" w:cs="Arial"/>
      <w:sz w:val="22"/>
      <w:szCs w:val="22"/>
    </w:rPr>
  </w:style>
  <w:style w:type="numbering" w:customStyle="1" w:styleId="BulletList">
    <w:name w:val="Bullet List"/>
    <w:rsid w:val="008F056B"/>
    <w:pPr>
      <w:numPr>
        <w:numId w:val="2"/>
      </w:numPr>
    </w:pPr>
  </w:style>
  <w:style w:type="paragraph" w:customStyle="1" w:styleId="GrantParagraph">
    <w:name w:val="Grant Paragraph"/>
    <w:basedOn w:val="Normal"/>
    <w:qFormat/>
    <w:rsid w:val="006D33F0"/>
    <w:pPr>
      <w:tabs>
        <w:tab w:val="left" w:pos="4320"/>
      </w:tabs>
      <w:spacing w:after="80"/>
      <w:jc w:val="both"/>
    </w:pPr>
    <w:rPr>
      <w:rFonts w:eastAsiaTheme="minorEastAsia"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otek.com/products/hybrid_technolog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Merritt-Garza, Megan E.</dc:creator>
  <cp:keywords/>
  <dc:description/>
  <cp:lastModifiedBy>Catalin Harbuzariu</cp:lastModifiedBy>
  <cp:revision>12</cp:revision>
  <dcterms:created xsi:type="dcterms:W3CDTF">2022-08-18T02:13:00Z</dcterms:created>
  <dcterms:modified xsi:type="dcterms:W3CDTF">2022-08-18T02:17:00Z</dcterms:modified>
</cp:coreProperties>
</file>